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4" w:name="_GoBack"/>
      <w:bookmarkEnd w:id="4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新乡市社科联调研课题成果印制要求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1.结项材料要按统一要求印制,格式不符的资料不予接收。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2.结项材料顺序依次为：封面、查重报告、立项通知、承诺书、目录、内容提要、正文、参考文献,左侧胶装。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3.印制的规格。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成品：A4 双面打印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封面：见版样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首页：见版样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尾页：见版样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字号：大标题用小二号方正小标宋简体，一级标题用小三号黑体，二级标题用四号楷体，三级标题用四号宋体加黑，正文用四号宋体。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正文：行距设置为固定值28磅，正文加页码。</w:t>
      </w:r>
    </w:p>
    <w:p>
      <w:pPr>
        <w:jc w:val="right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jc w:val="right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106045</wp:posOffset>
                </wp:positionV>
                <wp:extent cx="2172970" cy="488315"/>
                <wp:effectExtent l="5080" t="4445" r="1270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32"/>
                                <w:lang w:eastAsia="zh-CN"/>
                              </w:rPr>
                              <w:t>新乡市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eastAsia="zh-CN"/>
                              </w:rPr>
                              <w:t>社科联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32"/>
                                <w:lang w:eastAsia="zh-CN"/>
                              </w:rPr>
                              <w:t>调研课题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32"/>
                                <w:lang w:val="en-US" w:eastAsia="zh-CN"/>
                              </w:rPr>
                              <w:t>XX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32"/>
                                <w:lang w:val="en-US" w:eastAsia="zh-CN"/>
                              </w:rPr>
                              <w:t>年度调研课题</w:t>
                            </w:r>
                          </w:p>
                        </w:txbxContent>
                      </wps:txbx>
                      <wps:bodyPr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45pt;margin-top:8.35pt;height:38.45pt;width:171.1pt;z-index:251659264;v-text-anchor:middle;mso-width-relative:page;mso-height-relative:page;" fillcolor="#FFFFFF" filled="t" stroked="t" coordsize="21600,21600" o:gfxdata="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0Pi4nYAAAACAEAAA8A&#10;AAAAAAAAAQAgAAAAIgAAAGRycy9kb3ducmV2LnhtbFBLAQIUABQAAAAIAIdO4kBMq422FwIAAFIE&#10;AAAOAAAAAAAAAAEAIAAAACcBAABkcnMvZTJvRG9jLnhtbFBLBQYAAAAABgAGAFkBAACwBQAAAAA=&#10;">
                <v:fill on="t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32"/>
                          <w:lang w:eastAsia="zh-CN"/>
                        </w:rPr>
                        <w:t>新乡市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eastAsia="zh-CN"/>
                        </w:rPr>
                        <w:t>社科联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32"/>
                          <w:lang w:eastAsia="zh-CN"/>
                        </w:rPr>
                        <w:t>调研课题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宋体" w:hAnsi="宋体" w:cs="宋体"/>
                          <w:sz w:val="24"/>
                          <w:szCs w:val="32"/>
                          <w:lang w:val="en-US" w:eastAsia="zh-CN"/>
                        </w:rPr>
                        <w:t>XX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32"/>
                          <w:lang w:val="en-US" w:eastAsia="zh-CN"/>
                        </w:rPr>
                        <w:t>年度调研课题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立项编号：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2X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—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XXX</w:t>
      </w: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版样：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多源流框架下雾霾治理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府际合作的生成逻辑</w:t>
      </w: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课题主持人：</w:t>
      </w:r>
      <w:r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  <w:t>课题组成员：</w:t>
      </w:r>
      <w:r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  <w:t>主持人单位：</w:t>
      </w:r>
      <w:r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  <w:t xml:space="preserve">                          </w:t>
      </w: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>
      <w:pPr>
        <w:ind w:firstLine="1200" w:firstLineChars="400"/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>
      <w:pPr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>
      <w:pPr>
        <w:jc w:val="both"/>
        <w:rPr>
          <w:rFonts w:hint="eastAsia" w:ascii="Times New Roman" w:hAnsi="Times New Roman" w:eastAsia="楷体" w:cs="Times New Roman"/>
          <w:sz w:val="30"/>
          <w:szCs w:val="30"/>
          <w:u w:val="single"/>
          <w:lang w:val="en-US" w:eastAsia="zh-CN"/>
        </w:rPr>
      </w:pPr>
    </w:p>
    <w:p>
      <w:pPr>
        <w:jc w:val="center"/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楷体" w:cs="Times New Roman"/>
          <w:sz w:val="30"/>
          <w:szCs w:val="30"/>
          <w:u w:val="none"/>
          <w:lang w:val="en-US" w:eastAsia="zh-CN"/>
        </w:rPr>
        <w:t>20**年**月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查重报告（版样）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</w:pPr>
    </w:p>
    <w:p>
      <w:pPr>
        <w:spacing w:before="156" w:beforeLines="50" w:after="156" w:afterLines="50" w:line="360" w:lineRule="auto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drawing>
          <wp:inline distT="0" distB="0" distL="114300" distR="114300">
            <wp:extent cx="5290185" cy="6546850"/>
            <wp:effectExtent l="0" t="0" r="5715" b="6350"/>
            <wp:docPr id="2" name="图片 1" descr="cf4706f1e51841dfe495a1cd2b98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f4706f1e51841dfe495a1cd2b985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0185" cy="65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  <w:lang w:eastAsia="zh-CN"/>
        </w:rPr>
        <w:t>新乡市</w:t>
      </w: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</w:rPr>
        <w:t>社科联调研课题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</w:rPr>
        <w:t>立</w:t>
      </w: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</w:rPr>
        <w:t>项</w:t>
      </w: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</w:rPr>
        <w:t>通</w:t>
      </w: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pacing w:val="0"/>
          <w:position w:val="0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eastAsia" w:ascii="仿宋" w:hAnsi="仿宋" w:eastAsia="楷体" w:cs="仿宋"/>
          <w:b/>
          <w:spacing w:val="0"/>
          <w:position w:val="0"/>
          <w:sz w:val="32"/>
          <w:szCs w:val="32"/>
          <w:lang w:val="en-US" w:eastAsia="zh-CN"/>
        </w:rPr>
      </w:pPr>
      <w:r>
        <w:rPr>
          <w:rFonts w:hint="default" w:ascii="仿宋" w:hAnsi="仿宋" w:eastAsia="楷体" w:cs="仿宋"/>
          <w:b/>
          <w:spacing w:val="0"/>
          <w:positio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>主持人：</w:t>
      </w:r>
      <w:r>
        <w:rPr>
          <w:rFonts w:hint="default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>成</w:t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eastAsia="zh-CN"/>
        </w:rPr>
        <w:t>员：</w:t>
      </w:r>
      <w:r>
        <w:rPr>
          <w:rFonts w:hint="default" w:ascii="楷体_GB2312" w:hAnsi="楷体_GB2312" w:eastAsia="楷体_GB2312" w:cs="楷体_GB2312"/>
          <w:b/>
          <w:bCs/>
          <w:spacing w:val="0"/>
          <w:positio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经评委会评审，您主持申报的 202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年度调研课题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《</w:t>
      </w:r>
      <w:r>
        <w:rPr>
          <w:rFonts w:hint="default" w:ascii="楷体_GB2312" w:hAnsi="楷体_GB2312" w:eastAsia="楷体_GB2312" w:cs="楷体_GB2312"/>
          <w:spacing w:val="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现予立项，其编号为:</w:t>
      </w:r>
      <w:r>
        <w:rPr>
          <w:rFonts w:hint="default" w:ascii="仿宋" w:hAnsi="仿宋" w:eastAsia="仿宋" w:cs="仿宋"/>
          <w:spacing w:val="0"/>
          <w:position w:val="0"/>
          <w:sz w:val="32"/>
          <w:szCs w:val="32"/>
          <w:lang w:val="en-US"/>
        </w:rPr>
        <w:t xml:space="preserve">SKL-2024-  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为保证课题质量，特提出以下要求: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1.应按照《指南》要求和课题设计方案，认真组织实施</w:t>
      </w:r>
      <w:r>
        <w:rPr>
          <w:rFonts w:hint="default" w:ascii="仿宋" w:hAnsi="仿宋" w:eastAsia="仿宋" w:cs="仿宋"/>
          <w:spacing w:val="0"/>
          <w:position w:val="0"/>
          <w:sz w:val="32"/>
          <w:szCs w:val="32"/>
          <w:lang w:val="en-US"/>
        </w:rPr>
        <w:t>，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课题名称、课题负责人及成员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原则上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不得更换。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2.要在认真调查研究、掌握第一手资料的基础上，撰写出观点明确论据充分、具有应用价值的调研报告。所有引文、资料、数据应注明出处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调研报告篇幅不少于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5000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3.为加强科研诚信建设，结项课题的重复率不得高于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0%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，并提交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检测报告。如发现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存在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伪造检测结果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违反意识形态规定等问题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，撤销立项项目，向所在单位通报，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年内不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得参加课题立项、结项和优秀成果评奖等。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pacing w:val="0"/>
          <w:position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4.</w:t>
      </w:r>
      <w:r>
        <w:rPr>
          <w:rFonts w:hint="default" w:ascii="仿宋" w:hAnsi="仿宋" w:eastAsia="仿宋" w:cs="仿宋"/>
          <w:spacing w:val="0"/>
          <w:position w:val="0"/>
          <w:sz w:val="32"/>
          <w:szCs w:val="32"/>
          <w:lang w:val="en-US"/>
        </w:rPr>
        <w:t>结项课题的规格统一为A4纸，内文4号字，封面硬卡纸，胶装。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.课题完成后，务必于202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年3月前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（具体时间另行通知）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向报送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结项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材料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附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</w:rPr>
        <w:t>:课题成果封面标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pacing w:val="0"/>
          <w:position w:val="0"/>
          <w:sz w:val="32"/>
          <w:szCs w:val="32"/>
          <w:lang w:eastAsia="zh-CN"/>
        </w:rPr>
        <w:t>新乡市社科联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pacing w:val="0"/>
          <w:position w:val="0"/>
          <w:sz w:val="32"/>
          <w:szCs w:val="32"/>
          <w:lang w:val="en-US" w:eastAsia="zh-CN"/>
        </w:rPr>
        <w:t>2024年5月11日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新乡市社科联调研课题学术诚信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本课题组根据新乡市社科联调研课题结项要求提交结项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申报书,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在此郑重承诺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在课题申报、立项和结项等过程中，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严格遵守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《新乡市社科联调研课题管理办法》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；课题结项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材料和相关内容真实有效,不存在违背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诚信要求的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情形；结项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国家相关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。本课题组不存在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以下行为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（一）剽窃、抄袭他人学术成果；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　　（二）篡改他人研究成果；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　　（三）伪造科研数据、资料、文献、注释，或者捏造事实、编造虚假研究成果；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　　（四）未参加研究或创作而在研究成果、学术论文上署名，未经他人许可而不当使用他人署名，或者多人共同完成研究而在成果中未注明他人工作；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　　（五）在申报课题、成果、奖励等过程中提供虚假学术信息；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　　（六）有偿发表论文、买卖论文、由他人代写或为他人代写论文的；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after="0"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z w:val="32"/>
          <w:szCs w:val="32"/>
        </w:rPr>
        <w:t>　　（七）其他严重违反公认的学术准则、违背学术诚信的行为，根据相关学术组织或者高等学校制定的规则，属于学术不端行为的。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本课题组严格遵守课题管理相关规定，如有违反学术诚信、学术道德的行为，愿接受相应处分及承担法律责任。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475"/>
        <w:gridCol w:w="1914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5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主持人姓名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员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8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注：此表内容请手写。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</w:p>
    <w:p>
      <w:pPr>
        <w:pStyle w:val="2"/>
        <w:ind w:left="0" w:leftChars="0" w:firstLine="0" w:firstLineChars="0"/>
        <w:jc w:val="left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一、</w:t>
      </w:r>
      <w:r>
        <w:rPr>
          <w:rFonts w:hint="eastAsia" w:ascii="Times New Roman" w:hAnsi="Times New Roman"/>
          <w:sz w:val="28"/>
          <w:szCs w:val="28"/>
        </w:rPr>
        <w:t>案例描述与多源流分析</w:t>
      </w:r>
      <w:r>
        <w:rPr>
          <w:rFonts w:hint="eastAsia" w:ascii="Times New Roman" w:hAnsi="Times New Roman"/>
          <w:sz w:val="24"/>
          <w:szCs w:val="24"/>
          <w:lang w:eastAsia="zh-CN"/>
        </w:rPr>
        <w:t>……………………………………………………</w:t>
      </w:r>
      <w:r>
        <w:rPr>
          <w:rFonts w:hint="eastAsia" w:ascii="Times New Roman" w:hAnsi="Times New Roman"/>
          <w:sz w:val="28"/>
          <w:szCs w:val="28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（一）</w:t>
      </w:r>
      <w:r>
        <w:rPr>
          <w:rFonts w:hint="eastAsia" w:ascii="Times New Roman" w:hAnsi="Times New Roman"/>
          <w:sz w:val="28"/>
          <w:szCs w:val="28"/>
        </w:rPr>
        <w:t>案例描述及其典型性分析</w:t>
      </w:r>
      <w:r>
        <w:rPr>
          <w:rFonts w:hint="eastAsia" w:ascii="Times New Roman" w:hAnsi="Times New Roman"/>
          <w:sz w:val="28"/>
          <w:szCs w:val="28"/>
          <w:lang w:eastAsia="zh-CN"/>
        </w:rPr>
        <w:t>……………………………………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45" w:leftChars="450" w:firstLine="0" w:firstLineChars="0"/>
        <w:jc w:val="left"/>
        <w:textAlignment w:val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="Times New Roman" w:hAnsi="Times New Roman"/>
          <w:sz w:val="28"/>
          <w:szCs w:val="28"/>
          <w:lang w:eastAsia="zh-CN"/>
        </w:rPr>
        <w:t>.</w:t>
      </w:r>
      <w:r>
        <w:rPr>
          <w:rFonts w:hint="eastAsia" w:ascii="Times New Roman" w:hAnsi="Times New Roman"/>
          <w:sz w:val="28"/>
          <w:szCs w:val="28"/>
        </w:rPr>
        <w:t>案例描述</w:t>
      </w:r>
      <w:r>
        <w:rPr>
          <w:rFonts w:hint="eastAsia" w:ascii="Times New Roman" w:hAnsi="Times New Roman"/>
          <w:sz w:val="28"/>
          <w:szCs w:val="28"/>
          <w:lang w:eastAsia="zh-CN"/>
        </w:rPr>
        <w:t>………………………………………………………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45" w:leftChars="450" w:firstLine="0" w:firstLineChars="0"/>
        <w:jc w:val="left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hint="eastAsia" w:ascii="Times New Roman" w:hAnsi="Times New Roman"/>
          <w:sz w:val="28"/>
          <w:szCs w:val="28"/>
          <w:lang w:eastAsia="zh-CN"/>
        </w:rPr>
        <w:t>.</w:t>
      </w:r>
      <w:r>
        <w:rPr>
          <w:rFonts w:hint="eastAsia" w:ascii="Times New Roman" w:hAnsi="Times New Roman"/>
          <w:sz w:val="28"/>
          <w:szCs w:val="28"/>
        </w:rPr>
        <w:t>典型性分析</w:t>
      </w:r>
      <w:r>
        <w:rPr>
          <w:rFonts w:hint="eastAsia" w:ascii="Times New Roman" w:hAnsi="Times New Roman"/>
          <w:sz w:val="28"/>
          <w:szCs w:val="28"/>
          <w:lang w:eastAsia="zh-CN"/>
        </w:rPr>
        <w:t>……………………………………………………</w:t>
      </w:r>
      <w:r>
        <w:rPr>
          <w:rFonts w:hint="eastAsia" w:ascii="Times New Roman" w:hAnsi="Times New Roman"/>
          <w:sz w:val="28"/>
          <w:szCs w:val="28"/>
        </w:rPr>
        <w:t>8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200"/>
        <w:jc w:val="left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8"/>
          <w:szCs w:val="28"/>
          <w:lang w:eastAsia="zh-CN"/>
        </w:rPr>
        <w:t>（二）</w:t>
      </w:r>
      <w:r>
        <w:rPr>
          <w:rFonts w:hint="eastAsia" w:ascii="Times New Roman" w:hAnsi="Times New Roman"/>
          <w:sz w:val="28"/>
          <w:szCs w:val="28"/>
        </w:rPr>
        <w:t>研究设计与资料来源</w:t>
      </w:r>
      <w:r>
        <w:rPr>
          <w:rFonts w:hint="eastAsia" w:ascii="Times New Roman" w:hAnsi="Times New Roman"/>
          <w:spacing w:val="10"/>
          <w:kern w:val="0"/>
          <w:sz w:val="28"/>
          <w:szCs w:val="28"/>
          <w:fitText w:val="4480" w:id="-270691919"/>
          <w:lang w:eastAsia="zh-CN"/>
        </w:rPr>
        <w:t>……………………………………</w:t>
      </w:r>
      <w:r>
        <w:rPr>
          <w:rFonts w:hint="eastAsia" w:ascii="Times New Roman" w:hAnsi="Times New Roman"/>
          <w:spacing w:val="0"/>
          <w:kern w:val="0"/>
          <w:sz w:val="28"/>
          <w:szCs w:val="28"/>
          <w:fitText w:val="4480" w:id="-270691919"/>
          <w:lang w:eastAsia="zh-CN"/>
        </w:rPr>
        <w:t>…</w:t>
      </w:r>
      <w:r>
        <w:rPr>
          <w:rFonts w:hint="eastAsia" w:ascii="Times New Roman" w:hAnsi="Times New Roman"/>
          <w:sz w:val="28"/>
          <w:szCs w:val="28"/>
        </w:rPr>
        <w:t>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45" w:leftChars="450" w:firstLine="0" w:firstLineChars="0"/>
        <w:jc w:val="left"/>
        <w:textAlignment w:val="auto"/>
        <w:rPr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1</w:t>
      </w:r>
      <w:r>
        <w:rPr>
          <w:rFonts w:hint="eastAsia" w:ascii="Times New Roman" w:hAnsi="Times New Roman"/>
          <w:sz w:val="28"/>
          <w:szCs w:val="28"/>
          <w:lang w:eastAsia="zh-CN"/>
        </w:rPr>
        <w:t>.</w:t>
      </w:r>
      <w:r>
        <w:rPr>
          <w:rFonts w:hint="eastAsia" w:ascii="Times New Roman" w:hAnsi="Times New Roman"/>
          <w:sz w:val="28"/>
          <w:szCs w:val="28"/>
        </w:rPr>
        <w:t>研究设计</w:t>
      </w:r>
      <w:r>
        <w:rPr>
          <w:rFonts w:hint="eastAsia" w:ascii="Times New Roman" w:hAnsi="Times New Roman"/>
          <w:sz w:val="28"/>
          <w:szCs w:val="28"/>
          <w:lang w:eastAsia="zh-CN"/>
        </w:rPr>
        <w:t>………………………………………………………</w:t>
      </w:r>
      <w:r>
        <w:rPr>
          <w:rFonts w:hint="eastAsia" w:ascii="Times New Roman" w:hAnsi="Times New Roman"/>
          <w:sz w:val="28"/>
          <w:szCs w:val="28"/>
        </w:rPr>
        <w:t>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45" w:leftChars="450" w:firstLine="0" w:firstLineChars="0"/>
        <w:jc w:val="left"/>
        <w:textAlignment w:val="auto"/>
        <w:rPr>
          <w:rFonts w:hint="eastAsia" w:ascii="Times New Roman" w:hAnsi="Times New Roman" w:eastAsia="宋体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"_Toc477033390"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val="en-US" w:eastAsia="zh-CN"/>
        </w:rPr>
        <w:t>.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</w:rPr>
        <w:t>资料来源</w:t>
      </w:r>
      <w:r>
        <w:rPr>
          <w:rFonts w:ascii="Times New Roman" w:hAnsi="Times New Roman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/>
          <w:sz w:val="28"/>
          <w:szCs w:val="28"/>
          <w:u w:val="none"/>
          <w:lang w:eastAsia="zh-CN"/>
        </w:rPr>
        <w:t>………………………………………………………</w:t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9</w:t>
      </w:r>
    </w:p>
    <w:p>
      <w:pPr>
        <w:pStyle w:val="6"/>
        <w:tabs>
          <w:tab w:val="right" w:leader="dot" w:pos="9060"/>
        </w:tabs>
        <w:spacing w:line="360" w:lineRule="auto"/>
        <w:jc w:val="left"/>
        <w:rPr>
          <w:rFonts w:hint="eastAsia" w:ascii="Times New Roman" w:hAnsi="Times New Roman" w:eastAsia="宋体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"_Toc477033391"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（三）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</w:rPr>
        <w:t>案例的多源流分析</w:t>
      </w:r>
      <w:r>
        <w:rPr>
          <w:rStyle w:val="11"/>
          <w:rFonts w:hint="eastAsia" w:ascii="Times New Roman" w:hAnsi="Times New Roman" w:cs="Times New Roman"/>
          <w:color w:val="auto"/>
          <w:spacing w:val="5"/>
          <w:kern w:val="0"/>
          <w:sz w:val="28"/>
          <w:szCs w:val="28"/>
          <w:u w:val="none"/>
          <w:fitText w:val="4648" w:id="2044037305"/>
          <w:lang w:eastAsia="zh-CN"/>
        </w:rPr>
        <w:t>………………………………………</w:t>
      </w:r>
      <w:r>
        <w:rPr>
          <w:rStyle w:val="11"/>
          <w:rFonts w:hint="eastAsia" w:ascii="Times New Roman" w:hAnsi="Times New Roman" w:cs="Times New Roman"/>
          <w:color w:val="auto"/>
          <w:spacing w:val="9"/>
          <w:kern w:val="0"/>
          <w:sz w:val="28"/>
          <w:szCs w:val="28"/>
          <w:u w:val="none"/>
          <w:fitText w:val="4648" w:id="2044037305"/>
          <w:lang w:eastAsia="zh-CN"/>
        </w:rPr>
        <w:t>…</w:t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1</w:t>
      </w:r>
      <w:r>
        <w:rPr>
          <w:rFonts w:ascii="Times New Roman" w:hAnsi="Times New Roman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9</w:t>
      </w:r>
    </w:p>
    <w:p>
      <w:pPr>
        <w:pStyle w:val="6"/>
        <w:tabs>
          <w:tab w:val="right" w:leader="dot" w:pos="9060"/>
        </w:tabs>
        <w:spacing w:line="360" w:lineRule="auto"/>
        <w:jc w:val="left"/>
        <w:rPr>
          <w:rFonts w:hint="eastAsia" w:ascii="Times New Roman" w:hAnsi="Times New Roman" w:eastAsia="宋体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"_Toc477033396"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（四）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</w:rPr>
        <w:t>多源流分析的结果呈现</w:t>
      </w:r>
      <w:r>
        <w:rPr>
          <w:rStyle w:val="11"/>
          <w:rFonts w:hint="eastAsia" w:ascii="Times New Roman" w:hAnsi="Times New Roman" w:cs="Times New Roman"/>
          <w:color w:val="auto"/>
          <w:spacing w:val="5"/>
          <w:kern w:val="0"/>
          <w:sz w:val="28"/>
          <w:szCs w:val="28"/>
          <w:u w:val="none"/>
          <w:fitText w:val="4060" w:id="502548994"/>
          <w:lang w:eastAsia="zh-CN"/>
        </w:rPr>
        <w:t>……………………………………</w:t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3</w:t>
      </w:r>
      <w:r>
        <w:rPr>
          <w:rFonts w:ascii="Times New Roman" w:hAnsi="Times New Roman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3</w:t>
      </w:r>
    </w:p>
    <w:p>
      <w:pPr>
        <w:pStyle w:val="5"/>
        <w:jc w:val="left"/>
        <w:rPr>
          <w:rFonts w:hint="eastAsia" w:eastAsia="宋体" w:cs="Times New Roman"/>
          <w:bCs w:val="0"/>
          <w:kern w:val="2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"_Toc477033397"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hint="eastAsia" w:eastAsia="宋体"/>
          <w:color w:val="auto"/>
          <w:sz w:val="28"/>
          <w:szCs w:val="28"/>
          <w:u w:val="none"/>
          <w:lang w:eastAsia="zh-CN"/>
        </w:rPr>
        <w:t>二、</w:t>
      </w:r>
      <w:r>
        <w:rPr>
          <w:rStyle w:val="11"/>
          <w:rFonts w:hint="eastAsia" w:eastAsia="宋体"/>
          <w:color w:val="auto"/>
          <w:sz w:val="28"/>
          <w:szCs w:val="28"/>
          <w:u w:val="none"/>
        </w:rPr>
        <w:t>研究结果讨论</w:t>
      </w:r>
      <w:r>
        <w:rPr>
          <w:rStyle w:val="11"/>
          <w:rFonts w:hint="eastAsia" w:eastAsia="宋体"/>
          <w:color w:val="auto"/>
          <w:sz w:val="28"/>
          <w:szCs w:val="28"/>
          <w:u w:val="none"/>
          <w:lang w:eastAsia="zh-CN"/>
        </w:rPr>
        <w:t>………………………………………………………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>3</w:t>
      </w:r>
      <w:r>
        <w:rPr>
          <w:rFonts w:eastAsia="宋体"/>
          <w:sz w:val="28"/>
          <w:szCs w:val="28"/>
          <w:u w:val="none"/>
        </w:rPr>
        <w:fldChar w:fldCharType="end"/>
      </w:r>
      <w:r>
        <w:rPr>
          <w:rFonts w:hint="eastAsia" w:eastAsia="宋体"/>
          <w:sz w:val="28"/>
          <w:szCs w:val="28"/>
          <w:u w:val="none"/>
          <w:lang w:val="en-US" w:eastAsia="zh-CN"/>
        </w:rPr>
        <w:t>6</w:t>
      </w:r>
    </w:p>
    <w:p>
      <w:pPr>
        <w:pStyle w:val="6"/>
        <w:tabs>
          <w:tab w:val="right" w:leader="dot" w:pos="9060"/>
        </w:tabs>
        <w:spacing w:line="360" w:lineRule="auto"/>
        <w:jc w:val="left"/>
        <w:rPr>
          <w:rFonts w:hint="eastAsia" w:ascii="Times New Roman" w:hAnsi="Times New Roman" w:eastAsia="宋体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"_Toc477033398"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（一）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</w:rPr>
        <w:t>多源流框架下雾霾治理府际合作的生成逻辑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……………</w:t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3</w:t>
      </w:r>
      <w:r>
        <w:rPr>
          <w:rFonts w:ascii="Times New Roman" w:hAnsi="Times New Roman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6</w:t>
      </w:r>
    </w:p>
    <w:p>
      <w:pPr>
        <w:pStyle w:val="6"/>
        <w:tabs>
          <w:tab w:val="right" w:leader="dot" w:pos="9060"/>
        </w:tabs>
        <w:spacing w:line="360" w:lineRule="auto"/>
        <w:jc w:val="left"/>
        <w:rPr>
          <w:rFonts w:hint="eastAsia" w:ascii="Times New Roman" w:hAnsi="Times New Roman" w:eastAsia="宋体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"_Toc477033402"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（二）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</w:rPr>
        <w:t>多源流框架下避害型府际合作的特征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……………………</w:t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3</w:t>
      </w:r>
      <w:r>
        <w:rPr>
          <w:rFonts w:ascii="Times New Roman" w:hAnsi="Times New Roman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9</w:t>
      </w:r>
    </w:p>
    <w:p>
      <w:pPr>
        <w:pStyle w:val="5"/>
        <w:jc w:val="left"/>
        <w:rPr>
          <w:rFonts w:hint="eastAsia" w:eastAsia="宋体" w:cs="Times New Roman"/>
          <w:bCs w:val="0"/>
          <w:kern w:val="2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"_Toc477033403"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hint="eastAsia" w:eastAsia="宋体"/>
          <w:color w:val="auto"/>
          <w:sz w:val="28"/>
          <w:szCs w:val="28"/>
          <w:u w:val="none"/>
          <w:lang w:eastAsia="zh-CN"/>
        </w:rPr>
        <w:t>三、</w:t>
      </w:r>
      <w:r>
        <w:rPr>
          <w:rStyle w:val="11"/>
          <w:rFonts w:hint="eastAsia" w:eastAsia="宋体"/>
          <w:color w:val="auto"/>
          <w:sz w:val="28"/>
          <w:szCs w:val="28"/>
          <w:u w:val="none"/>
        </w:rPr>
        <w:t>多源流框架下雾霾治理府际合作生成的对策建议</w:t>
      </w:r>
      <w:r>
        <w:rPr>
          <w:rStyle w:val="11"/>
          <w:rFonts w:hint="eastAsia" w:eastAsia="宋体"/>
          <w:color w:val="auto"/>
          <w:spacing w:val="1"/>
          <w:w w:val="91"/>
          <w:kern w:val="0"/>
          <w:sz w:val="28"/>
          <w:szCs w:val="28"/>
          <w:u w:val="none"/>
          <w:fitText w:val="1540" w:id="-73941786"/>
          <w:lang w:eastAsia="zh-CN"/>
        </w:rPr>
        <w:t>………………</w:t>
      </w:r>
      <w:r>
        <w:rPr>
          <w:rStyle w:val="11"/>
          <w:rFonts w:hint="eastAsia" w:eastAsia="宋体"/>
          <w:color w:val="auto"/>
          <w:kern w:val="0"/>
          <w:sz w:val="28"/>
          <w:szCs w:val="28"/>
          <w:u w:val="none"/>
          <w:lang w:val="en-US" w:eastAsia="zh-CN"/>
        </w:rPr>
        <w:t>4</w:t>
      </w:r>
      <w:r>
        <w:rPr>
          <w:rFonts w:eastAsia="宋体"/>
          <w:sz w:val="28"/>
          <w:szCs w:val="28"/>
          <w:u w:val="none"/>
        </w:rPr>
        <w:fldChar w:fldCharType="end"/>
      </w:r>
      <w:r>
        <w:rPr>
          <w:rFonts w:hint="eastAsia" w:eastAsia="宋体"/>
          <w:sz w:val="28"/>
          <w:szCs w:val="28"/>
          <w:u w:val="none"/>
          <w:lang w:val="en-US" w:eastAsia="zh-CN"/>
        </w:rPr>
        <w:t>2</w:t>
      </w:r>
    </w:p>
    <w:p>
      <w:pPr>
        <w:pStyle w:val="6"/>
        <w:tabs>
          <w:tab w:val="right" w:leader="dot" w:pos="9060"/>
        </w:tabs>
        <w:spacing w:line="360" w:lineRule="auto"/>
        <w:jc w:val="left"/>
        <w:rPr>
          <w:rFonts w:hint="eastAsia" w:ascii="Times New Roman" w:hAnsi="Times New Roman" w:eastAsia="宋体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"_Toc477033404"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（一）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</w:rPr>
        <w:t>关注问题源流巩固合作基础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………………………………</w:t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4</w:t>
      </w:r>
      <w:r>
        <w:rPr>
          <w:rFonts w:ascii="Times New Roman" w:hAnsi="Times New Roman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2</w:t>
      </w:r>
    </w:p>
    <w:p>
      <w:pPr>
        <w:pStyle w:val="6"/>
        <w:tabs>
          <w:tab w:val="right" w:leader="dot" w:pos="9060"/>
        </w:tabs>
        <w:spacing w:line="360" w:lineRule="auto"/>
        <w:jc w:val="left"/>
        <w:rPr>
          <w:rFonts w:hint="eastAsia" w:ascii="Times New Roman" w:hAnsi="Times New Roman" w:eastAsia="宋体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"_Toc477033407"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（二）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</w:rPr>
        <w:t>借助政治源流提升合作效率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………………………………</w:t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4</w:t>
      </w:r>
      <w:r>
        <w:rPr>
          <w:rFonts w:ascii="Times New Roman" w:hAnsi="Times New Roman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3</w:t>
      </w:r>
    </w:p>
    <w:p>
      <w:pPr>
        <w:pStyle w:val="6"/>
        <w:tabs>
          <w:tab w:val="right" w:leader="dot" w:pos="9060"/>
        </w:tabs>
        <w:spacing w:line="360" w:lineRule="auto"/>
        <w:jc w:val="left"/>
        <w:rPr>
          <w:rFonts w:hint="eastAsia" w:ascii="Times New Roman" w:hAnsi="Times New Roman" w:eastAsia="宋体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"_Toc477033410"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（三）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</w:rPr>
        <w:t>丰富政策源流拓宽合作渠道</w:t>
      </w:r>
      <w:r>
        <w:rPr>
          <w:rStyle w:val="11"/>
          <w:rFonts w:hint="eastAsia" w:ascii="Times New Roman" w:hAnsi="Times New Roman" w:cs="Times New Roman"/>
          <w:color w:val="auto"/>
          <w:sz w:val="28"/>
          <w:szCs w:val="28"/>
          <w:u w:val="none"/>
          <w:lang w:eastAsia="zh-CN"/>
        </w:rPr>
        <w:t>………………………………</w:t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4</w:t>
      </w:r>
      <w:r>
        <w:rPr>
          <w:rFonts w:ascii="Times New Roman" w:hAnsi="Times New Roman"/>
          <w:sz w:val="28"/>
          <w:szCs w:val="28"/>
          <w:u w:val="none"/>
        </w:rPr>
        <w:fldChar w:fldCharType="end"/>
      </w:r>
      <w:r>
        <w:rPr>
          <w:rFonts w:hint="eastAsia" w:ascii="Times New Roman" w:hAnsi="Times New Roman"/>
          <w:sz w:val="28"/>
          <w:szCs w:val="28"/>
          <w:u w:val="none"/>
          <w:lang w:val="en-US" w:eastAsia="zh-CN"/>
        </w:rPr>
        <w:t>4</w:t>
      </w:r>
    </w:p>
    <w:p>
      <w:pPr>
        <w:pStyle w:val="5"/>
        <w:jc w:val="left"/>
        <w:rPr>
          <w:rFonts w:hint="eastAsia" w:eastAsia="宋体" w:cs="Times New Roman"/>
          <w:bCs w:val="0"/>
          <w:kern w:val="2"/>
          <w:sz w:val="28"/>
          <w:szCs w:val="28"/>
          <w:u w:val="none"/>
          <w:lang w:val="en-US" w:eastAsia="zh-CN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"_Toc477033413"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hint="eastAsia" w:eastAsia="宋体"/>
          <w:color w:val="auto"/>
          <w:sz w:val="28"/>
          <w:szCs w:val="28"/>
          <w:u w:val="none"/>
          <w:lang w:eastAsia="zh-CN"/>
        </w:rPr>
        <w:t>四、</w:t>
      </w:r>
      <w:r>
        <w:rPr>
          <w:rStyle w:val="11"/>
          <w:rFonts w:hint="eastAsia" w:eastAsia="宋体"/>
          <w:color w:val="auto"/>
          <w:sz w:val="28"/>
          <w:szCs w:val="28"/>
          <w:u w:val="none"/>
        </w:rPr>
        <w:t>结论</w:t>
      </w:r>
      <w:r>
        <w:rPr>
          <w:rStyle w:val="11"/>
          <w:rFonts w:hint="eastAsia" w:eastAsia="宋体"/>
          <w:color w:val="auto"/>
          <w:spacing w:val="3"/>
          <w:kern w:val="0"/>
          <w:sz w:val="28"/>
          <w:szCs w:val="28"/>
          <w:u w:val="none"/>
          <w:fitText w:val="6860" w:id="-68240073"/>
          <w:lang w:eastAsia="zh-CN"/>
        </w:rPr>
        <w:t>……………………………………………………………</w:t>
      </w:r>
      <w:r>
        <w:rPr>
          <w:rStyle w:val="11"/>
          <w:rFonts w:hint="eastAsia" w:eastAsia="宋体"/>
          <w:color w:val="auto"/>
          <w:spacing w:val="1"/>
          <w:kern w:val="0"/>
          <w:sz w:val="28"/>
          <w:szCs w:val="28"/>
          <w:u w:val="none"/>
          <w:fitText w:val="6860" w:id="-68240073"/>
          <w:lang w:eastAsia="zh-CN"/>
        </w:rPr>
        <w:t>…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>4</w:t>
      </w:r>
      <w:r>
        <w:rPr>
          <w:rFonts w:eastAsia="宋体"/>
          <w:sz w:val="28"/>
          <w:szCs w:val="28"/>
          <w:u w:val="none"/>
        </w:rPr>
        <w:fldChar w:fldCharType="end"/>
      </w:r>
      <w:r>
        <w:rPr>
          <w:rFonts w:hint="eastAsia" w:eastAsia="宋体"/>
          <w:sz w:val="28"/>
          <w:szCs w:val="28"/>
          <w:u w:val="none"/>
          <w:lang w:val="en-US" w:eastAsia="zh-CN"/>
        </w:rPr>
        <w:t>7</w:t>
      </w:r>
    </w:p>
    <w:p>
      <w:pPr>
        <w:pStyle w:val="5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sz w:val="28"/>
          <w:szCs w:val="28"/>
          <w:u w:val="none"/>
        </w:rPr>
        <w:fldChar w:fldCharType="begin"/>
      </w:r>
      <w:r>
        <w:rPr>
          <w:sz w:val="28"/>
          <w:szCs w:val="28"/>
          <w:u w:val="none"/>
        </w:rPr>
        <w:instrText xml:space="preserve"> HYPERLINK \l "_Toc477033414" </w:instrText>
      </w:r>
      <w:r>
        <w:rPr>
          <w:sz w:val="28"/>
          <w:szCs w:val="28"/>
          <w:u w:val="none"/>
        </w:rPr>
        <w:fldChar w:fldCharType="separate"/>
      </w:r>
      <w:r>
        <w:rPr>
          <w:rStyle w:val="11"/>
          <w:rFonts w:hint="eastAsia" w:eastAsia="宋体"/>
          <w:color w:val="auto"/>
          <w:sz w:val="28"/>
          <w:szCs w:val="28"/>
          <w:u w:val="none"/>
        </w:rPr>
        <w:t>参考文献</w:t>
      </w:r>
      <w:r>
        <w:rPr>
          <w:rStyle w:val="11"/>
          <w:rFonts w:hint="eastAsia" w:eastAsia="宋体"/>
          <w:color w:val="auto"/>
          <w:spacing w:val="3"/>
          <w:kern w:val="0"/>
          <w:sz w:val="28"/>
          <w:szCs w:val="28"/>
          <w:u w:val="none"/>
          <w:fitText w:val="6860" w:id="2111666484"/>
          <w:lang w:eastAsia="zh-CN"/>
        </w:rPr>
        <w:t>……………………………………………………………</w:t>
      </w:r>
      <w:r>
        <w:rPr>
          <w:rStyle w:val="11"/>
          <w:rFonts w:hint="eastAsia" w:eastAsia="宋体"/>
          <w:color w:val="auto"/>
          <w:spacing w:val="1"/>
          <w:kern w:val="0"/>
          <w:sz w:val="28"/>
          <w:szCs w:val="28"/>
          <w:u w:val="none"/>
          <w:fitText w:val="6860" w:id="2111666484"/>
          <w:lang w:eastAsia="zh-CN"/>
        </w:rPr>
        <w:t>…</w:t>
      </w:r>
      <w:r>
        <w:rPr>
          <w:rFonts w:hint="eastAsia" w:eastAsia="宋体"/>
          <w:sz w:val="28"/>
          <w:szCs w:val="28"/>
          <w:u w:val="none"/>
          <w:lang w:val="en-US" w:eastAsia="zh-CN"/>
        </w:rPr>
        <w:t>4</w:t>
      </w:r>
      <w:r>
        <w:rPr>
          <w:rFonts w:eastAsia="宋体"/>
          <w:sz w:val="28"/>
          <w:szCs w:val="28"/>
          <w:u w:val="none"/>
        </w:rPr>
        <w:fldChar w:fldCharType="end"/>
      </w:r>
      <w:r>
        <w:rPr>
          <w:rFonts w:hint="eastAsia" w:eastAsia="宋体"/>
          <w:sz w:val="28"/>
          <w:szCs w:val="28"/>
          <w:u w:val="none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内容提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Times New Roman" w:hAnsi="Times New Roman" w:eastAsia="宋体" w:cs="Times New Roman"/>
          <w:snapToGrid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在雾霾日益严重的情况下，雾霾治理迫在眉睫。雾霾是一个复杂的公共治理问题，任何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单一、片面的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治理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都是无力的，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需要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进行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系统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统筹。在长期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理论与实践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探索中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，府际合作、联防联控成为了应对雾霾问题的理性选择。然而在现实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生活中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，雾霾治理府际合作有时较为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容易生成，有时却难以生成，因此，探究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雾霾治理府际合作的生成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因素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就具有一定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的理论意义与现实意义。</w:t>
      </w:r>
      <w:r>
        <w:rPr>
          <w:rFonts w:hint="eastAsia" w:ascii="Times New Roman" w:hAnsi="Times New Roman" w:cs="Times New Roman"/>
          <w:snapToGrid w:val="0"/>
          <w:sz w:val="28"/>
          <w:szCs w:val="28"/>
          <w:lang w:eastAsia="zh-CN"/>
        </w:rPr>
        <w:t>……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因此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，对京津冀大气污染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联防联控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进行系统的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梳理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与分析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，探究其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生成逻辑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，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对于我国雾霾治理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府际合作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的形成具有重要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启示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与指导作用。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Times New Roman" w:hAnsi="Times New Roman" w:eastAsia="宋体" w:cs="Times New Roman"/>
          <w:snapToGrid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基于此，本文在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多源流理论与府际合作理论的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基础上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构建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了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多源流框架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下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雾霾治理府际合作的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分析框架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。借用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多源流理论的理念，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以雾霾污染的范围、持续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时长、污染的程度为问题流，</w:t>
      </w:r>
      <w:r>
        <w:rPr>
          <w:rFonts w:hint="eastAsia" w:ascii="Times New Roman" w:hAnsi="Times New Roman" w:cs="Times New Roman"/>
          <w:snapToGrid w:val="0"/>
          <w:sz w:val="28"/>
          <w:szCs w:val="28"/>
          <w:lang w:eastAsia="zh-CN"/>
        </w:rPr>
        <w:t>……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随后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，对避害型府际合作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与趋利型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府际合作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进行了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对比分析，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总结出了我国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避害型府际合作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本身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所具有的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政治性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、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外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生性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、组织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性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等特点，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并在此基础上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结合源流间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相互影响的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逻辑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，提出了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关注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问题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源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流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巩固合作基础、借助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政治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源流提升合作效率和丰富政策源流拓宽合作渠道的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多源流框架下雾霾治理府际合作</w:t>
      </w:r>
      <w:r>
        <w:rPr>
          <w:rFonts w:hint="eastAsia" w:ascii="Times New Roman" w:hAnsi="Times New Roman" w:eastAsia="宋体" w:cs="Times New Roman"/>
          <w:snapToGrid w:val="0"/>
          <w:sz w:val="28"/>
          <w:szCs w:val="28"/>
        </w:rPr>
        <w:t>的</w:t>
      </w:r>
      <w:r>
        <w:rPr>
          <w:rFonts w:ascii="Times New Roman" w:hAnsi="Times New Roman" w:eastAsia="宋体" w:cs="Times New Roman"/>
          <w:snapToGrid w:val="0"/>
          <w:sz w:val="28"/>
          <w:szCs w:val="28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2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关键词</w:t>
      </w:r>
      <w:r>
        <w:rPr>
          <w:rFonts w:ascii="Times New Roman" w:hAnsi="Times New Roman" w:eastAsia="黑体" w:cs="Times New Roman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sz w:val="28"/>
          <w:szCs w:val="28"/>
        </w:rPr>
        <w:t>多源流</w:t>
      </w:r>
      <w:r>
        <w:rPr>
          <w:rFonts w:ascii="Times New Roman" w:hAnsi="Times New Roman" w:eastAsia="宋体" w:cs="Times New Roman"/>
          <w:sz w:val="28"/>
          <w:szCs w:val="28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</w:rPr>
        <w:t>雾霾治理</w:t>
      </w:r>
      <w:r>
        <w:rPr>
          <w:rFonts w:ascii="Times New Roman" w:hAnsi="Times New Roman" w:eastAsia="宋体" w:cs="Times New Roman"/>
          <w:sz w:val="28"/>
          <w:szCs w:val="28"/>
        </w:rPr>
        <w:t>；</w:t>
      </w:r>
      <w:r>
        <w:rPr>
          <w:rFonts w:hint="eastAsia" w:ascii="Times New Roman" w:hAnsi="Times New Roman" w:eastAsia="宋体" w:cs="Times New Roman"/>
          <w:sz w:val="28"/>
          <w:szCs w:val="28"/>
        </w:rPr>
        <w:t>府际合作；</w:t>
      </w:r>
      <w:r>
        <w:rPr>
          <w:rFonts w:ascii="Times New Roman" w:hAnsi="Times New Roman" w:eastAsia="宋体" w:cs="Times New Roman"/>
          <w:sz w:val="28"/>
          <w:szCs w:val="28"/>
        </w:rPr>
        <w:t>京津冀大气污染联防联控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sectPr>
          <w:footerReference r:id="rId3" w:type="default"/>
          <w:pgSz w:w="11906" w:h="16838"/>
          <w:pgMar w:top="2098" w:right="1474" w:bottom="1984" w:left="1531" w:header="851" w:footer="992" w:gutter="0"/>
          <w:paperSrc/>
          <w:pgNumType w:fmt="numberInDash" w:start="1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多源流框架下雾霾治理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府际合作的生成逻辑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>一、案例描述与多源流分析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（一）</w:t>
      </w:r>
      <w:r>
        <w:rPr>
          <w:rFonts w:hint="eastAsia" w:ascii="楷体" w:hAnsi="楷体" w:eastAsia="楷体" w:cs="楷体"/>
          <w:sz w:val="28"/>
          <w:szCs w:val="28"/>
        </w:rPr>
        <w:t>案例描述及其典型性分析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案例描述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2010年5月国务院办公厅下发了《关于推进大气污染联防联控工作改善区域空气质量的指导意见》。《意见</w:t>
      </w:r>
      <w:r>
        <w:rPr>
          <w:rFonts w:ascii="Times New Roman" w:hAnsi="Times New Roman" w:eastAsia="宋体" w:cs="Times New Roman"/>
          <w:sz w:val="28"/>
          <w:szCs w:val="28"/>
        </w:rPr>
        <w:t>》</w:t>
      </w:r>
      <w:r>
        <w:rPr>
          <w:rFonts w:hint="eastAsia" w:ascii="Times New Roman" w:hAnsi="Times New Roman" w:eastAsia="宋体" w:cs="Times New Roman"/>
          <w:sz w:val="28"/>
          <w:szCs w:val="28"/>
        </w:rPr>
        <w:t>指出要按照“统一规划、统一监测、统一监管、统一评估、统一协调”的</w:t>
      </w:r>
      <w:r>
        <w:rPr>
          <w:rFonts w:ascii="Times New Roman" w:hAnsi="Times New Roman" w:eastAsia="宋体" w:cs="Times New Roman"/>
          <w:sz w:val="28"/>
          <w:szCs w:val="28"/>
        </w:rPr>
        <w:t>指导思想</w:t>
      </w:r>
      <w:r>
        <w:rPr>
          <w:rFonts w:hint="eastAsia" w:ascii="Times New Roman" w:hAnsi="Times New Roman" w:eastAsia="宋体" w:cs="Times New Roman"/>
          <w:sz w:val="28"/>
          <w:szCs w:val="28"/>
        </w:rPr>
        <w:t>在京津冀开展大气污染联防联控工作，到2015年</w:t>
      </w:r>
      <w:r>
        <w:rPr>
          <w:rFonts w:ascii="Times New Roman" w:hAnsi="Times New Roman" w:eastAsia="宋体" w:cs="Times New Roman"/>
          <w:sz w:val="28"/>
          <w:szCs w:val="28"/>
        </w:rPr>
        <w:t>建</w:t>
      </w:r>
      <w:r>
        <w:rPr>
          <w:rFonts w:hint="eastAsia" w:ascii="Times New Roman" w:hAnsi="Times New Roman" w:eastAsia="宋体" w:cs="Times New Roman"/>
          <w:sz w:val="28"/>
          <w:szCs w:val="28"/>
        </w:rPr>
        <w:t>成大气污染联防联控机制。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[</w:t>
      </w:r>
      <w:r>
        <w:rPr>
          <w:rFonts w:hint="eastAsia" w:ascii="Times New Roman" w:hAnsi="Times New Roman" w:cs="Times New Roman"/>
          <w:sz w:val="28"/>
          <w:szCs w:val="28"/>
          <w:vertAlign w:val="superscript"/>
          <w:lang w:val="en-US" w:eastAsia="zh-CN"/>
        </w:rPr>
        <w:t>1</w:t>
      </w:r>
      <w:r>
        <w:rPr>
          <w:rFonts w:ascii="Times New Roman" w:hAnsi="Times New Roman" w:eastAsia="宋体" w:cs="Times New Roman"/>
          <w:sz w:val="28"/>
          <w:szCs w:val="28"/>
          <w:vertAlign w:val="superscript"/>
        </w:rPr>
        <w:t>]</w:t>
      </w:r>
      <w:r>
        <w:rPr>
          <w:rFonts w:hint="eastAsia" w:ascii="Times New Roman" w:hAnsi="Times New Roman" w:eastAsia="宋体" w:cs="Times New Roman"/>
          <w:sz w:val="28"/>
          <w:szCs w:val="28"/>
        </w:rPr>
        <w:t>京津冀大气污染联防联控的概念</w:t>
      </w:r>
      <w:r>
        <w:rPr>
          <w:rFonts w:ascii="Times New Roman" w:hAnsi="Times New Roman" w:eastAsia="宋体" w:cs="Times New Roman"/>
          <w:sz w:val="28"/>
          <w:szCs w:val="28"/>
        </w:rPr>
        <w:t>正式提出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其实</w:t>
      </w:r>
      <w:r>
        <w:rPr>
          <w:rFonts w:ascii="Times New Roman" w:hAnsi="Times New Roman" w:eastAsia="宋体" w:cs="Times New Roman"/>
          <w:sz w:val="28"/>
          <w:szCs w:val="28"/>
        </w:rPr>
        <w:t>，早在</w:t>
      </w:r>
      <w:r>
        <w:rPr>
          <w:rFonts w:hint="eastAsia" w:ascii="Times New Roman" w:hAnsi="Times New Roman" w:eastAsia="宋体" w:cs="Times New Roman"/>
          <w:sz w:val="28"/>
          <w:szCs w:val="28"/>
        </w:rPr>
        <w:t>2008年</w:t>
      </w:r>
      <w:r>
        <w:rPr>
          <w:rFonts w:ascii="Times New Roman" w:hAnsi="Times New Roman" w:eastAsia="宋体" w:cs="Times New Roman"/>
          <w:sz w:val="28"/>
          <w:szCs w:val="28"/>
        </w:rPr>
        <w:t>北京奥运会时期，京津冀及其周边省市就进行了大气污染联防联控的实践。</w:t>
      </w:r>
      <w:r>
        <w:rPr>
          <w:rFonts w:hint="eastAsia" w:ascii="Times New Roman" w:hAnsi="Times New Roman" w:eastAsia="宋体" w:cs="Times New Roman"/>
          <w:sz w:val="28"/>
          <w:szCs w:val="28"/>
        </w:rPr>
        <w:t>为保证</w:t>
      </w:r>
      <w:r>
        <w:rPr>
          <w:rFonts w:ascii="Times New Roman" w:hAnsi="Times New Roman" w:eastAsia="宋体" w:cs="Times New Roman"/>
          <w:sz w:val="28"/>
          <w:szCs w:val="28"/>
        </w:rPr>
        <w:t>奥运会的</w:t>
      </w:r>
      <w:r>
        <w:rPr>
          <w:rFonts w:hint="eastAsia" w:ascii="Times New Roman" w:hAnsi="Times New Roman" w:eastAsia="宋体" w:cs="Times New Roman"/>
          <w:sz w:val="28"/>
          <w:szCs w:val="28"/>
        </w:rPr>
        <w:t>空气质量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北京进行了一系列的</w:t>
      </w:r>
      <w:r>
        <w:rPr>
          <w:rFonts w:ascii="Times New Roman" w:hAnsi="Times New Roman" w:eastAsia="宋体" w:cs="Times New Roman"/>
          <w:sz w:val="28"/>
          <w:szCs w:val="28"/>
        </w:rPr>
        <w:t>改造。在</w:t>
      </w:r>
      <w:r>
        <w:rPr>
          <w:rFonts w:hint="eastAsia" w:ascii="Times New Roman" w:hAnsi="Times New Roman" w:eastAsia="宋体" w:cs="Times New Roman"/>
          <w:sz w:val="28"/>
          <w:szCs w:val="28"/>
        </w:rPr>
        <w:t>改善</w:t>
      </w:r>
      <w:r>
        <w:rPr>
          <w:rFonts w:ascii="Times New Roman" w:hAnsi="Times New Roman" w:eastAsia="宋体" w:cs="Times New Roman"/>
          <w:sz w:val="28"/>
          <w:szCs w:val="28"/>
        </w:rPr>
        <w:t>能源结构方面，</w:t>
      </w:r>
      <w:r>
        <w:rPr>
          <w:rFonts w:hint="eastAsia" w:ascii="Times New Roman" w:hAnsi="Times New Roman" w:eastAsia="宋体" w:cs="Times New Roman"/>
          <w:sz w:val="28"/>
          <w:szCs w:val="28"/>
        </w:rPr>
        <w:t>北京城区2007年的天然气</w:t>
      </w:r>
      <w:r>
        <w:rPr>
          <w:rFonts w:ascii="Times New Roman" w:hAnsi="Times New Roman" w:eastAsia="宋体" w:cs="Times New Roman"/>
          <w:sz w:val="28"/>
          <w:szCs w:val="28"/>
        </w:rPr>
        <w:t>供应量</w:t>
      </w:r>
      <w:r>
        <w:rPr>
          <w:rFonts w:hint="eastAsia" w:ascii="Times New Roman" w:hAnsi="Times New Roman" w:eastAsia="宋体" w:cs="Times New Roman"/>
          <w:sz w:val="28"/>
          <w:szCs w:val="28"/>
        </w:rPr>
        <w:t>是2000年</w:t>
      </w:r>
      <w:r>
        <w:rPr>
          <w:rFonts w:ascii="Times New Roman" w:hAnsi="Times New Roman" w:eastAsia="宋体" w:cs="Times New Roman"/>
          <w:sz w:val="28"/>
          <w:szCs w:val="28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</w:rPr>
        <w:t>4倍</w:t>
      </w:r>
      <w:r>
        <w:rPr>
          <w:rFonts w:ascii="Times New Roman" w:hAnsi="Times New Roman" w:eastAsia="宋体" w:cs="Times New Roman"/>
          <w:sz w:val="28"/>
          <w:szCs w:val="28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</w:rPr>
        <w:t>并</w:t>
      </w:r>
      <w:r>
        <w:rPr>
          <w:rFonts w:ascii="Times New Roman" w:hAnsi="Times New Roman" w:eastAsia="宋体" w:cs="Times New Roman"/>
          <w:sz w:val="28"/>
          <w:szCs w:val="28"/>
        </w:rPr>
        <w:t>完成了</w:t>
      </w:r>
      <w:r>
        <w:rPr>
          <w:rFonts w:hint="eastAsia" w:ascii="Times New Roman" w:hAnsi="Times New Roman" w:eastAsia="宋体" w:cs="Times New Roman"/>
          <w:sz w:val="28"/>
          <w:szCs w:val="28"/>
        </w:rPr>
        <w:t>1.6万</w:t>
      </w:r>
      <w:r>
        <w:rPr>
          <w:rFonts w:ascii="Times New Roman" w:hAnsi="Times New Roman" w:eastAsia="宋体" w:cs="Times New Roman"/>
          <w:sz w:val="28"/>
          <w:szCs w:val="28"/>
        </w:rPr>
        <w:t>台锅炉改造</w:t>
      </w:r>
      <w:r>
        <w:rPr>
          <w:rFonts w:hint="eastAsia" w:ascii="Times New Roman" w:hAnsi="Times New Roman" w:eastAsia="宋体" w:cs="Times New Roman"/>
          <w:sz w:val="28"/>
          <w:szCs w:val="28"/>
        </w:rPr>
        <w:t>；</w:t>
      </w:r>
      <w:r>
        <w:rPr>
          <w:rFonts w:ascii="Times New Roman" w:hAnsi="Times New Roman" w:eastAsia="宋体" w:cs="Times New Roman"/>
          <w:sz w:val="28"/>
          <w:szCs w:val="28"/>
        </w:rPr>
        <w:t>在控制机动车污染方面，</w:t>
      </w:r>
      <w:r>
        <w:rPr>
          <w:rFonts w:hint="eastAsia" w:ascii="Times New Roman" w:hAnsi="Times New Roman" w:eastAsia="宋体" w:cs="Times New Roman"/>
          <w:sz w:val="28"/>
          <w:szCs w:val="28"/>
        </w:rPr>
        <w:t>淘汰了1万</w:t>
      </w:r>
      <w:r>
        <w:rPr>
          <w:rFonts w:ascii="Times New Roman" w:hAnsi="Times New Roman" w:eastAsia="宋体" w:cs="Times New Roman"/>
          <w:sz w:val="28"/>
          <w:szCs w:val="28"/>
        </w:rPr>
        <w:t>辆</w:t>
      </w:r>
      <w:r>
        <w:rPr>
          <w:rFonts w:hint="eastAsia" w:ascii="Times New Roman" w:hAnsi="Times New Roman" w:eastAsia="宋体" w:cs="Times New Roman"/>
          <w:sz w:val="28"/>
          <w:szCs w:val="28"/>
        </w:rPr>
        <w:t>未达标</w:t>
      </w:r>
      <w:r>
        <w:rPr>
          <w:rFonts w:ascii="Times New Roman" w:hAnsi="Times New Roman" w:eastAsia="宋体" w:cs="Times New Roman"/>
          <w:sz w:val="28"/>
          <w:szCs w:val="28"/>
        </w:rPr>
        <w:t>公交车，</w:t>
      </w:r>
      <w:r>
        <w:rPr>
          <w:rFonts w:hint="eastAsia" w:ascii="Times New Roman" w:hAnsi="Times New Roman" w:eastAsia="宋体" w:cs="Times New Roman"/>
          <w:sz w:val="28"/>
          <w:szCs w:val="28"/>
        </w:rPr>
        <w:t>5万辆未达标</w:t>
      </w:r>
      <w:r>
        <w:rPr>
          <w:rFonts w:ascii="Times New Roman" w:hAnsi="Times New Roman" w:eastAsia="宋体" w:cs="Times New Roman"/>
          <w:sz w:val="28"/>
          <w:szCs w:val="28"/>
        </w:rPr>
        <w:t>出租车</w:t>
      </w:r>
      <w:r>
        <w:rPr>
          <w:rFonts w:hint="eastAsia" w:ascii="Times New Roman" w:hAnsi="Times New Roman" w:eastAsia="宋体" w:cs="Times New Roman"/>
          <w:sz w:val="28"/>
          <w:szCs w:val="28"/>
        </w:rPr>
        <w:t>；在调整工业</w:t>
      </w:r>
      <w:r>
        <w:rPr>
          <w:rFonts w:ascii="Times New Roman" w:hAnsi="Times New Roman" w:eastAsia="宋体" w:cs="Times New Roman"/>
          <w:sz w:val="28"/>
          <w:szCs w:val="28"/>
        </w:rPr>
        <w:t>结构方面，搬迁了</w:t>
      </w:r>
      <w:r>
        <w:rPr>
          <w:rFonts w:hint="eastAsia" w:ascii="Times New Roman" w:hAnsi="Times New Roman" w:eastAsia="宋体" w:cs="Times New Roman"/>
          <w:sz w:val="28"/>
          <w:szCs w:val="28"/>
        </w:rPr>
        <w:t>144家</w:t>
      </w:r>
      <w:r>
        <w:rPr>
          <w:rFonts w:ascii="Times New Roman" w:hAnsi="Times New Roman" w:eastAsia="宋体" w:cs="Times New Roman"/>
          <w:sz w:val="28"/>
          <w:szCs w:val="28"/>
        </w:rPr>
        <w:t>污染企业，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然而</w:t>
      </w:r>
      <w:r>
        <w:rPr>
          <w:rFonts w:ascii="Times New Roman" w:hAnsi="Times New Roman" w:eastAsia="宋体" w:cs="Times New Roman"/>
          <w:sz w:val="28"/>
          <w:szCs w:val="28"/>
        </w:rPr>
        <w:t>，上述措施本身</w:t>
      </w:r>
      <w:r>
        <w:rPr>
          <w:rFonts w:hint="eastAsia" w:ascii="Times New Roman" w:hAnsi="Times New Roman" w:eastAsia="宋体" w:cs="Times New Roman"/>
          <w:sz w:val="28"/>
          <w:szCs w:val="28"/>
        </w:rPr>
        <w:t>具有</w:t>
      </w:r>
      <w:r>
        <w:rPr>
          <w:rFonts w:ascii="Times New Roman" w:hAnsi="Times New Roman" w:eastAsia="宋体" w:cs="Times New Roman"/>
          <w:sz w:val="28"/>
          <w:szCs w:val="28"/>
        </w:rPr>
        <w:t>明显的非</w:t>
      </w:r>
      <w:r>
        <w:rPr>
          <w:rFonts w:hint="eastAsia" w:ascii="Times New Roman" w:hAnsi="Times New Roman" w:eastAsia="宋体" w:cs="Times New Roman"/>
          <w:sz w:val="28"/>
          <w:szCs w:val="28"/>
        </w:rPr>
        <w:t>常态</w:t>
      </w:r>
      <w:r>
        <w:rPr>
          <w:rFonts w:ascii="Times New Roman" w:hAnsi="Times New Roman" w:eastAsia="宋体" w:cs="Times New Roman"/>
          <w:sz w:val="28"/>
          <w:szCs w:val="28"/>
        </w:rPr>
        <w:t>化的特征，不可能长期坚持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且</w:t>
      </w:r>
      <w:r>
        <w:rPr>
          <w:rFonts w:hint="eastAsia" w:ascii="Times New Roman" w:hAnsi="Times New Roman" w:eastAsia="宋体" w:cs="Times New Roman"/>
          <w:sz w:val="28"/>
          <w:szCs w:val="28"/>
        </w:rPr>
        <w:t>上述</w:t>
      </w:r>
      <w:r>
        <w:rPr>
          <w:rFonts w:ascii="Times New Roman" w:hAnsi="Times New Roman" w:eastAsia="宋体" w:cs="Times New Roman"/>
          <w:sz w:val="28"/>
          <w:szCs w:val="28"/>
        </w:rPr>
        <w:t>措施基本属于课题研究性质，在奥运会结束后，也随之结束</w:t>
      </w:r>
      <w:r>
        <w:rPr>
          <w:rFonts w:hint="eastAsia" w:ascii="Times New Roman" w:hAnsi="Times New Roman" w:eastAsia="宋体" w:cs="Times New Roman"/>
          <w:sz w:val="28"/>
          <w:szCs w:val="28"/>
        </w:rPr>
        <w:t>。但随后不久，严重</w:t>
      </w:r>
      <w:r>
        <w:rPr>
          <w:rFonts w:ascii="Times New Roman" w:hAnsi="Times New Roman" w:eastAsia="宋体" w:cs="Times New Roman"/>
          <w:sz w:val="28"/>
          <w:szCs w:val="28"/>
        </w:rPr>
        <w:t>影响人们生产、生活的雾霾</w:t>
      </w:r>
      <w:r>
        <w:rPr>
          <w:rFonts w:hint="eastAsia" w:ascii="Times New Roman" w:hAnsi="Times New Roman" w:eastAsia="宋体" w:cs="Times New Roman"/>
          <w:sz w:val="28"/>
          <w:szCs w:val="28"/>
        </w:rPr>
        <w:t>问题</w:t>
      </w:r>
      <w:r>
        <w:rPr>
          <w:rFonts w:ascii="Times New Roman" w:hAnsi="Times New Roman" w:eastAsia="宋体" w:cs="Times New Roman"/>
          <w:sz w:val="28"/>
          <w:szCs w:val="28"/>
        </w:rPr>
        <w:t>便</w:t>
      </w:r>
      <w:r>
        <w:rPr>
          <w:rFonts w:hint="eastAsia" w:ascii="Times New Roman" w:hAnsi="Times New Roman" w:eastAsia="宋体" w:cs="Times New Roman"/>
          <w:sz w:val="28"/>
          <w:szCs w:val="28"/>
        </w:rPr>
        <w:t>让</w:t>
      </w:r>
      <w:r>
        <w:rPr>
          <w:rFonts w:ascii="Times New Roman" w:hAnsi="Times New Roman" w:eastAsia="宋体" w:cs="Times New Roman"/>
          <w:sz w:val="28"/>
          <w:szCs w:val="28"/>
        </w:rPr>
        <w:t>联控联控这一措施由被重新激活。</w:t>
      </w:r>
      <w:r>
        <w:rPr>
          <w:rFonts w:hint="eastAsia" w:ascii="Times New Roman" w:hAnsi="Times New Roman" w:eastAsia="宋体" w:cs="Times New Roman"/>
          <w:sz w:val="28"/>
          <w:szCs w:val="28"/>
        </w:rPr>
        <w:t>自201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年起，</w:t>
      </w:r>
      <w:r>
        <w:rPr>
          <w:rFonts w:ascii="Times New Roman" w:hAnsi="Times New Roman" w:eastAsia="宋体" w:cs="Times New Roman"/>
          <w:sz w:val="28"/>
          <w:szCs w:val="28"/>
        </w:rPr>
        <w:t>华北地区的雾霾问题就逐渐变得严重起来，但并未引起</w:t>
      </w:r>
      <w:r>
        <w:rPr>
          <w:rFonts w:hint="eastAsia" w:ascii="Times New Roman" w:hAnsi="Times New Roman" w:eastAsia="宋体" w:cs="Times New Roman"/>
          <w:sz w:val="28"/>
          <w:szCs w:val="28"/>
        </w:rPr>
        <w:t>人们</w:t>
      </w:r>
      <w:r>
        <w:rPr>
          <w:rFonts w:ascii="Times New Roman" w:hAnsi="Times New Roman" w:eastAsia="宋体" w:cs="Times New Roman"/>
          <w:sz w:val="28"/>
          <w:szCs w:val="28"/>
        </w:rPr>
        <w:t>应有的关注。</w:t>
      </w:r>
      <w:bookmarkStart w:id="0" w:name="_Toc477033414"/>
      <w:bookmarkStart w:id="1" w:name="_Toc341875585"/>
      <w:bookmarkStart w:id="2" w:name="_Toc345138896"/>
      <w:bookmarkStart w:id="3" w:name="_Toc421991265"/>
      <w:r>
        <w:rPr>
          <w:rFonts w:hint="eastAsia" w:ascii="Times New Roman" w:hAnsi="Times New Roman" w:cs="Times New Roman"/>
          <w:sz w:val="28"/>
          <w:szCs w:val="28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zh-CN" w:eastAsia="zh-CN"/>
        </w:rPr>
        <w:t>参考文献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ascii="Times New Roman" w:hAnsi="Times New Roman" w:eastAsia="黑体" w:cs="Times New Roman"/>
          <w:bCs/>
          <w:kern w:val="0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[1</w:t>
      </w:r>
      <w:r>
        <w:rPr>
          <w:rFonts w:hint="eastAsia" w:ascii="Times New Roman" w:hAnsi="Times New Roman" w:eastAsia="宋体" w:cs="Times New Roman"/>
          <w:sz w:val="28"/>
          <w:szCs w:val="28"/>
        </w:rPr>
        <w:t>]</w:t>
      </w:r>
      <w:r>
        <w:rPr>
          <w:rFonts w:ascii="Times New Roman" w:hAnsi="Times New Roman" w:eastAsia="宋体" w:cs="Times New Roman"/>
          <w:sz w:val="28"/>
          <w:szCs w:val="28"/>
        </w:rPr>
        <w:t xml:space="preserve"> 张国伟</w:t>
      </w:r>
      <w:r>
        <w:rPr>
          <w:rFonts w:hint="eastAsia" w:ascii="Times New Roman" w:hAnsi="Times New Roman" w:eastAsia="宋体" w:cs="Times New Roman"/>
          <w:sz w:val="28"/>
          <w:szCs w:val="28"/>
        </w:rPr>
        <w:t>.</w:t>
      </w:r>
      <w:r>
        <w:rPr>
          <w:rFonts w:ascii="Times New Roman" w:hAnsi="Times New Roman" w:eastAsia="宋体" w:cs="Times New Roman"/>
          <w:sz w:val="28"/>
          <w:szCs w:val="28"/>
        </w:rPr>
        <w:t>北京拉响雾霾红色</w:t>
      </w:r>
      <w:r>
        <w:rPr>
          <w:rFonts w:hint="eastAsia" w:ascii="Times New Roman" w:hAnsi="Times New Roman" w:eastAsia="宋体" w:cs="Times New Roman"/>
          <w:sz w:val="28"/>
          <w:szCs w:val="28"/>
        </w:rPr>
        <w:t>预警</w:t>
      </w:r>
      <w:r>
        <w:rPr>
          <w:rFonts w:ascii="Times New Roman" w:hAnsi="Times New Roman" w:eastAsia="宋体" w:cs="Times New Roman"/>
          <w:sz w:val="28"/>
          <w:szCs w:val="28"/>
        </w:rPr>
        <w:t>[N].</w:t>
      </w:r>
      <w:r>
        <w:rPr>
          <w:rFonts w:hint="eastAsia" w:ascii="Times New Roman" w:hAnsi="Times New Roman" w:eastAsia="宋体" w:cs="Times New Roman"/>
          <w:sz w:val="28"/>
          <w:szCs w:val="28"/>
        </w:rPr>
        <w:t>新闻晨</w:t>
      </w:r>
      <w:r>
        <w:rPr>
          <w:rFonts w:ascii="Times New Roman" w:hAnsi="Times New Roman" w:eastAsia="宋体" w:cs="Times New Roman"/>
          <w:sz w:val="28"/>
          <w:szCs w:val="28"/>
        </w:rPr>
        <w:t>报</w:t>
      </w:r>
      <w:r>
        <w:rPr>
          <w:rFonts w:hint="eastAsia" w:ascii="Times New Roman" w:hAnsi="Times New Roman" w:eastAsia="宋体" w:cs="Times New Roman"/>
          <w:sz w:val="28"/>
          <w:szCs w:val="28"/>
        </w:rPr>
        <w:t>，</w:t>
      </w:r>
      <w:r>
        <w:rPr>
          <w:rFonts w:ascii="Times New Roman" w:hAnsi="Times New Roman" w:eastAsia="宋体" w:cs="Times New Roman"/>
          <w:sz w:val="28"/>
          <w:szCs w:val="28"/>
        </w:rPr>
        <w:t>2016-12-17(A06).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[2] Zhu Chen</w:t>
      </w:r>
      <w:r>
        <w:rPr>
          <w:rFonts w:hint="eastAsia" w:ascii="Times New Roman" w:hAnsi="Times New Roman" w:eastAsia="宋体" w:cs="Times New Roman"/>
          <w:sz w:val="28"/>
          <w:szCs w:val="28"/>
        </w:rPr>
        <w:t>,</w:t>
      </w:r>
      <w:r>
        <w:rPr>
          <w:rFonts w:ascii="Times New Roman" w:hAnsi="Times New Roman" w:eastAsia="宋体" w:cs="Times New Roman"/>
          <w:sz w:val="28"/>
          <w:szCs w:val="28"/>
        </w:rPr>
        <w:t xml:space="preserve"> Jin-Nan Wang,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Guo-Xia Ma. China tackles the health effects of air pollution [J].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The Lancet</w:t>
      </w:r>
      <w:r>
        <w:rPr>
          <w:rFonts w:ascii="Times New Roman" w:hAnsi="Times New Roman" w:eastAsia="宋体" w:cs="Times New Roman"/>
          <w:sz w:val="28"/>
          <w:szCs w:val="28"/>
        </w:rPr>
        <w:t>, 2013(382):1959–1960.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[3]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李辉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</w:rPr>
        <w:t>雾霾协同治理需解决三大问题</w:t>
      </w:r>
      <w:r>
        <w:rPr>
          <w:rFonts w:ascii="Times New Roman" w:hAnsi="Times New Roman" w:eastAsia="宋体" w:cs="Times New Roman"/>
          <w:sz w:val="28"/>
          <w:szCs w:val="28"/>
        </w:rPr>
        <w:t>[J].</w:t>
      </w:r>
      <w:r>
        <w:rPr>
          <w:rFonts w:hint="eastAsia" w:ascii="Times New Roman" w:hAnsi="Times New Roman" w:eastAsia="宋体" w:cs="Times New Roman"/>
          <w:sz w:val="28"/>
          <w:szCs w:val="28"/>
        </w:rPr>
        <w:t>中国机构改革与管理</w:t>
      </w:r>
      <w:r>
        <w:rPr>
          <w:rFonts w:ascii="Times New Roman" w:hAnsi="Times New Roman" w:eastAsia="宋体" w:cs="Times New Roman"/>
          <w:sz w:val="28"/>
          <w:szCs w:val="28"/>
        </w:rPr>
        <w:t>,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2015(</w:t>
      </w:r>
      <w:r>
        <w:rPr>
          <w:rFonts w:ascii="Times New Roman" w:hAnsi="Times New Roman" w:eastAsia="宋体" w:cs="Times New Roman"/>
          <w:sz w:val="28"/>
          <w:szCs w:val="28"/>
        </w:rPr>
        <w:t>3</w:t>
      </w:r>
      <w:r>
        <w:rPr>
          <w:rFonts w:hint="eastAsia" w:ascii="Times New Roman" w:hAnsi="Times New Roman" w:eastAsia="宋体" w:cs="Times New Roman"/>
          <w:sz w:val="28"/>
          <w:szCs w:val="28"/>
        </w:rPr>
        <w:t>)</w:t>
      </w:r>
      <w:r>
        <w:rPr>
          <w:rFonts w:ascii="Times New Roman" w:hAnsi="Times New Roman" w:eastAsia="宋体" w:cs="Times New Roman"/>
          <w:sz w:val="28"/>
          <w:szCs w:val="28"/>
        </w:rPr>
        <w:t>:</w:t>
      </w:r>
      <w:r>
        <w:rPr>
          <w:rFonts w:hint="eastAsia" w:ascii="Times New Roman" w:hAnsi="Times New Roman" w:eastAsia="宋体" w:cs="Times New Roman"/>
          <w:sz w:val="28"/>
          <w:szCs w:val="28"/>
        </w:rPr>
        <w:t>9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[4] 约翰·W·金登.</w:t>
      </w:r>
      <w:r>
        <w:rPr>
          <w:rFonts w:hint="eastAsia" w:ascii="Times New Roman" w:hAnsi="Times New Roman" w:eastAsia="宋体" w:cs="Times New Roman"/>
          <w:sz w:val="28"/>
          <w:szCs w:val="28"/>
        </w:rPr>
        <w:t>议程、备选方案与公共政策[</w:t>
      </w:r>
      <w:r>
        <w:rPr>
          <w:rFonts w:ascii="Times New Roman" w:hAnsi="Times New Roman" w:eastAsia="宋体" w:cs="Times New Roman"/>
          <w:sz w:val="28"/>
          <w:szCs w:val="28"/>
        </w:rPr>
        <w:t>M</w:t>
      </w:r>
      <w:r>
        <w:rPr>
          <w:rFonts w:hint="eastAsia" w:ascii="Times New Roman" w:hAnsi="Times New Roman" w:eastAsia="宋体" w:cs="Times New Roman"/>
          <w:sz w:val="28"/>
          <w:szCs w:val="28"/>
        </w:rPr>
        <w:t>]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</w:rPr>
        <w:t>北京:</w:t>
      </w:r>
      <w:r>
        <w:rPr>
          <w:rFonts w:ascii="Times New Roman" w:hAnsi="Times New Roman" w:eastAsia="宋体" w:cs="Times New Roman"/>
          <w:sz w:val="28"/>
          <w:szCs w:val="28"/>
        </w:rPr>
        <w:t>中国人民大学出版社</w:t>
      </w:r>
      <w:r>
        <w:rPr>
          <w:rFonts w:hint="eastAsia" w:ascii="Times New Roman" w:hAnsi="Times New Roman" w:eastAsia="宋体" w:cs="Times New Roman"/>
          <w:sz w:val="28"/>
          <w:szCs w:val="28"/>
        </w:rPr>
        <w:t>,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2004</w:t>
      </w:r>
      <w:r>
        <w:rPr>
          <w:rFonts w:ascii="Times New Roman" w:hAnsi="Times New Roman" w:eastAsia="宋体" w:cs="Times New Roman"/>
          <w:sz w:val="28"/>
          <w:szCs w:val="28"/>
        </w:rPr>
        <w:t>:18.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[5] </w:t>
      </w:r>
      <w:r>
        <w:rPr>
          <w:rFonts w:hint="eastAsia" w:ascii="Times New Roman" w:hAnsi="Times New Roman" w:eastAsia="宋体" w:cs="Times New Roman"/>
          <w:sz w:val="28"/>
          <w:szCs w:val="28"/>
        </w:rPr>
        <w:t>保罗</w:t>
      </w:r>
      <w:r>
        <w:rPr>
          <w:rFonts w:ascii="Times New Roman" w:hAnsi="Times New Roman" w:eastAsia="宋体" w:cs="Times New Roman"/>
          <w:sz w:val="28"/>
          <w:szCs w:val="28"/>
        </w:rPr>
        <w:t>·</w:t>
      </w:r>
      <w:r>
        <w:rPr>
          <w:rFonts w:hint="eastAsia" w:ascii="Times New Roman" w:hAnsi="Times New Roman" w:eastAsia="宋体" w:cs="Times New Roman"/>
          <w:sz w:val="28"/>
          <w:szCs w:val="28"/>
        </w:rPr>
        <w:t>A</w:t>
      </w:r>
      <w:r>
        <w:rPr>
          <w:rFonts w:ascii="Times New Roman" w:hAnsi="Times New Roman" w:eastAsia="宋体" w:cs="Times New Roman"/>
          <w:sz w:val="28"/>
          <w:szCs w:val="28"/>
        </w:rPr>
        <w:t>·</w:t>
      </w:r>
      <w:r>
        <w:rPr>
          <w:rFonts w:hint="eastAsia" w:ascii="Times New Roman" w:hAnsi="Times New Roman" w:eastAsia="宋体" w:cs="Times New Roman"/>
          <w:sz w:val="28"/>
          <w:szCs w:val="28"/>
        </w:rPr>
        <w:t>萨巴蒂尔.政策过程理论[</w:t>
      </w:r>
      <w:r>
        <w:rPr>
          <w:rFonts w:ascii="Times New Roman" w:hAnsi="Times New Roman" w:eastAsia="宋体" w:cs="Times New Roman"/>
          <w:sz w:val="28"/>
          <w:szCs w:val="28"/>
        </w:rPr>
        <w:t>M].</w:t>
      </w:r>
      <w:r>
        <w:rPr>
          <w:rFonts w:hint="eastAsia" w:ascii="Times New Roman" w:hAnsi="Times New Roman" w:eastAsia="宋体" w:cs="Times New Roman"/>
          <w:sz w:val="28"/>
          <w:szCs w:val="28"/>
        </w:rPr>
        <w:t>北京:生活·读书·新知三联书店,</w:t>
      </w:r>
      <w:r>
        <w:rPr>
          <w:rFonts w:ascii="Times New Roman" w:hAnsi="Times New Roman" w:eastAsia="宋体" w:cs="Times New Roman"/>
          <w:sz w:val="28"/>
          <w:szCs w:val="28"/>
        </w:rPr>
        <w:t>2004:92.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[6] Charles Tiebout. A Pure Theory of Local Expenditures [J]. Journal of Political Economy, 1956(5):416-424.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highlight w:val="none"/>
          <w:lang w:val="en-US" w:eastAsia="zh-CN"/>
        </w:rPr>
        <w:t xml:space="preserve">附件3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决策建议格式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题目：XXXXXXX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引言：介绍选题的意义、价值等内容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（突出选题与市委、市政府中心工作及当前经济社会发展热点、难点问题的关联度，注重简明扼要、直奔主题）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（突出问题的准确性，注重归纳、提炼）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（一）XXXXXXXXXX………………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（二）XXXXXXXXXX………………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二、对策建议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（突出解决措施的针对性、可操作性，避免泛泛而谈）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（一）XXXXXXXXXX………………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（二）XXXXXXXXXX………………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 Mono">
    <w:altName w:val="Cascadia Mono SemiLight"/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scadia Mono Semi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sF/fckBAACZ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wX99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TRlMGI4NjE4MGM4NTJjMGFhZmM3MWQ5ZjEyZDkifQ=="/>
    <w:docVar w:name="KSO_WPS_MARK_KEY" w:val="43f2043b-bfee-4260-ab1f-b3213fa93453"/>
  </w:docVars>
  <w:rsids>
    <w:rsidRoot w:val="00000000"/>
    <w:rsid w:val="0D1C53AA"/>
    <w:rsid w:val="1FED032A"/>
    <w:rsid w:val="2B754624"/>
    <w:rsid w:val="3EAB0813"/>
    <w:rsid w:val="5FF972B0"/>
    <w:rsid w:val="623F2AD6"/>
    <w:rsid w:val="6FDC21FC"/>
    <w:rsid w:val="6FDFE14F"/>
    <w:rsid w:val="73DC2ADA"/>
    <w:rsid w:val="756519CD"/>
    <w:rsid w:val="75BAACDA"/>
    <w:rsid w:val="76FD25F1"/>
    <w:rsid w:val="77F7529B"/>
    <w:rsid w:val="7BFFFE53"/>
    <w:rsid w:val="7DDDC330"/>
    <w:rsid w:val="7DFB0123"/>
    <w:rsid w:val="7EDE3667"/>
    <w:rsid w:val="7F59CAA5"/>
    <w:rsid w:val="7FEB632D"/>
    <w:rsid w:val="9BF165B6"/>
    <w:rsid w:val="A7E7D7AE"/>
    <w:rsid w:val="AF5D4F85"/>
    <w:rsid w:val="BADF75E4"/>
    <w:rsid w:val="CEF5FA35"/>
    <w:rsid w:val="D3D68101"/>
    <w:rsid w:val="D7CA9A52"/>
    <w:rsid w:val="D9D94FAD"/>
    <w:rsid w:val="E9DFFE8D"/>
    <w:rsid w:val="EB6BD320"/>
    <w:rsid w:val="ECFD6F45"/>
    <w:rsid w:val="FBF78F9B"/>
    <w:rsid w:val="FEDE25A3"/>
    <w:rsid w:val="FF7B2427"/>
    <w:rsid w:val="FF7F878E"/>
    <w:rsid w:val="FFCD0A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tabs>
        <w:tab w:val="right" w:leader="dot" w:pos="9060"/>
      </w:tabs>
      <w:spacing w:line="360" w:lineRule="auto"/>
      <w:ind w:left="840" w:leftChars="4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</w:pPr>
    <w:rPr>
      <w:rFonts w:ascii="Times New Roman" w:hAnsi="Times New Roman" w:eastAsia="黑体" w:cs="Times New Roman"/>
      <w:bCs/>
      <w:kern w:val="0"/>
      <w:sz w:val="24"/>
      <w:szCs w:val="24"/>
      <w:lang w:val="zh-CN" w:eastAsia="zh-CN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3579</Words>
  <Characters>4004</Characters>
  <Lines>0</Lines>
  <Paragraphs>0</Paragraphs>
  <TotalTime>27.6666666666667</TotalTime>
  <ScaleCrop>false</ScaleCrop>
  <LinksUpToDate>false</LinksUpToDate>
  <CharactersWithSpaces>4357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肉肉</cp:lastModifiedBy>
  <cp:lastPrinted>2024-02-24T23:40:33Z</cp:lastPrinted>
  <dcterms:modified xsi:type="dcterms:W3CDTF">2025-03-17T09:14:59Z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49569791F308458B8F8CA3C2C2D5A130_13</vt:lpwstr>
  </property>
</Properties>
</file>